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10C8" w14:textId="368AEADF" w:rsidR="00634B61" w:rsidRPr="00CB763D" w:rsidRDefault="00361C96" w:rsidP="00CB763D">
      <w:pPr>
        <w:spacing w:after="0" w:line="240" w:lineRule="auto"/>
        <w:jc w:val="center"/>
        <w:rPr>
          <w:rFonts w:ascii="Verdana" w:hAnsi="Verdana"/>
          <w:b/>
          <w:sz w:val="20"/>
          <w:szCs w:val="20"/>
          <w:u w:val="single"/>
          <w:lang w:val="es-ES"/>
        </w:rPr>
      </w:pPr>
      <w:r w:rsidRPr="00361C96">
        <w:rPr>
          <w:rFonts w:ascii="Verdana" w:hAnsi="Verdana"/>
          <w:b/>
          <w:sz w:val="20"/>
          <w:szCs w:val="20"/>
          <w:u w:val="single"/>
          <w:lang w:val="es-ES"/>
        </w:rPr>
        <w:t xml:space="preserve">Caso Comunidad Indígena Maya </w:t>
      </w:r>
      <w:proofErr w:type="spellStart"/>
      <w:r w:rsidRPr="00361C96">
        <w:rPr>
          <w:rFonts w:ascii="Verdana" w:hAnsi="Verdana"/>
          <w:b/>
          <w:sz w:val="20"/>
          <w:szCs w:val="20"/>
          <w:u w:val="single"/>
          <w:lang w:val="es-ES"/>
        </w:rPr>
        <w:t>Q’eqchi</w:t>
      </w:r>
      <w:proofErr w:type="spellEnd"/>
      <w:r w:rsidRPr="00361C96">
        <w:rPr>
          <w:rFonts w:ascii="Verdana" w:hAnsi="Verdana"/>
          <w:b/>
          <w:sz w:val="20"/>
          <w:szCs w:val="20"/>
          <w:u w:val="single"/>
          <w:lang w:val="es-ES"/>
        </w:rPr>
        <w:t xml:space="preserve">’ Agua Caliente </w:t>
      </w:r>
      <w:r w:rsidR="00093A18" w:rsidRPr="00CB763D">
        <w:rPr>
          <w:rFonts w:ascii="Verdana" w:hAnsi="Verdana"/>
          <w:b/>
          <w:i/>
          <w:sz w:val="20"/>
          <w:szCs w:val="20"/>
          <w:u w:val="single"/>
          <w:lang w:val="es-ES"/>
        </w:rPr>
        <w:t>Vs</w:t>
      </w:r>
      <w:r w:rsidR="00093A18" w:rsidRPr="00CB763D">
        <w:rPr>
          <w:rFonts w:ascii="Verdana" w:hAnsi="Verdana"/>
          <w:b/>
          <w:sz w:val="20"/>
          <w:szCs w:val="20"/>
          <w:u w:val="single"/>
          <w:lang w:val="es-ES"/>
        </w:rPr>
        <w:t xml:space="preserve">. </w:t>
      </w:r>
      <w:r>
        <w:rPr>
          <w:rFonts w:ascii="Verdana" w:hAnsi="Verdana"/>
          <w:b/>
          <w:sz w:val="20"/>
          <w:szCs w:val="20"/>
          <w:u w:val="single"/>
          <w:lang w:val="es-MX"/>
        </w:rPr>
        <w:t>Guatemala:</w:t>
      </w:r>
      <w:r w:rsidR="00093A18" w:rsidRPr="00CB763D">
        <w:rPr>
          <w:rFonts w:ascii="Verdana" w:hAnsi="Verdana"/>
          <w:b/>
          <w:sz w:val="20"/>
          <w:szCs w:val="20"/>
          <w:u w:val="single"/>
          <w:lang w:val="es-ES"/>
        </w:rPr>
        <w:t xml:space="preserve"> reparaciones pendientes de cumplimiento</w:t>
      </w:r>
    </w:p>
    <w:p w14:paraId="515BA352" w14:textId="77777777" w:rsidR="00CB763D" w:rsidRDefault="00CB763D" w:rsidP="00CB763D">
      <w:pPr>
        <w:spacing w:after="0" w:line="240" w:lineRule="auto"/>
        <w:jc w:val="center"/>
        <w:rPr>
          <w:rFonts w:ascii="Verdana" w:hAnsi="Verdana"/>
          <w:b/>
          <w:u w:val="single"/>
          <w:lang w:val="es-ES"/>
        </w:rPr>
      </w:pPr>
    </w:p>
    <w:p w14:paraId="1340D916" w14:textId="05CF77CC" w:rsidR="005D4271" w:rsidRPr="005D4271" w:rsidRDefault="005D4271" w:rsidP="005D4271">
      <w:pPr>
        <w:pStyle w:val="Prrafodelista"/>
        <w:numPr>
          <w:ilvl w:val="0"/>
          <w:numId w:val="2"/>
        </w:numPr>
        <w:spacing w:after="160" w:line="259" w:lineRule="auto"/>
        <w:ind w:left="0" w:firstLine="0"/>
        <w:jc w:val="both"/>
        <w:rPr>
          <w:rFonts w:ascii="Verdana" w:hAnsi="Verdana"/>
          <w:sz w:val="20"/>
          <w:szCs w:val="20"/>
          <w:lang w:val="es-ES"/>
        </w:rPr>
      </w:pPr>
      <w:r>
        <w:rPr>
          <w:rFonts w:ascii="Verdana" w:hAnsi="Verdana"/>
          <w:sz w:val="20"/>
          <w:szCs w:val="20"/>
        </w:rPr>
        <w:t>C</w:t>
      </w:r>
      <w:r w:rsidR="00634B61" w:rsidRPr="005D4271">
        <w:rPr>
          <w:rFonts w:ascii="Verdana" w:hAnsi="Verdana"/>
          <w:sz w:val="20"/>
          <w:szCs w:val="20"/>
        </w:rPr>
        <w:t>omenzar</w:t>
      </w:r>
      <w:r w:rsidR="003C6845">
        <w:rPr>
          <w:rFonts w:ascii="Verdana" w:hAnsi="Verdana"/>
          <w:sz w:val="20"/>
          <w:szCs w:val="20"/>
        </w:rPr>
        <w:t>á</w:t>
      </w:r>
      <w:r w:rsidR="00634B61" w:rsidRPr="005D4271">
        <w:rPr>
          <w:rFonts w:ascii="Verdana" w:hAnsi="Verdana"/>
          <w:sz w:val="20"/>
          <w:szCs w:val="20"/>
        </w:rPr>
        <w:t xml:space="preserve"> a adoptar las medidas requeridas para ofrecer a la Comunidad indígena Maya </w:t>
      </w:r>
      <w:proofErr w:type="spellStart"/>
      <w:r w:rsidR="00634B61" w:rsidRPr="005D4271">
        <w:rPr>
          <w:rFonts w:ascii="Verdana" w:hAnsi="Verdana"/>
          <w:sz w:val="20"/>
          <w:szCs w:val="20"/>
        </w:rPr>
        <w:t>Q’eqchi</w:t>
      </w:r>
      <w:proofErr w:type="spellEnd"/>
      <w:r w:rsidR="00634B61" w:rsidRPr="005D4271">
        <w:rPr>
          <w:rFonts w:ascii="Verdana" w:hAnsi="Verdana"/>
          <w:sz w:val="20"/>
          <w:szCs w:val="20"/>
        </w:rPr>
        <w:t xml:space="preserve">’ Agua Caliente Lote 9 un título comunitario o colectivo de su tierra y adoptar las medidas necesarias para delimitar y demarcar adecuadamente la propiedad, en los términos de los párrafos 345 y 346 de </w:t>
      </w:r>
      <w:r>
        <w:rPr>
          <w:rFonts w:ascii="Verdana" w:hAnsi="Verdana"/>
          <w:sz w:val="20"/>
          <w:szCs w:val="20"/>
        </w:rPr>
        <w:t xml:space="preserve">la </w:t>
      </w:r>
      <w:r w:rsidR="00634B61" w:rsidRPr="005D4271">
        <w:rPr>
          <w:rFonts w:ascii="Verdana" w:hAnsi="Verdana"/>
          <w:sz w:val="20"/>
          <w:szCs w:val="20"/>
        </w:rPr>
        <w:t>Sentencia.</w:t>
      </w:r>
    </w:p>
    <w:p w14:paraId="35270E6C" w14:textId="77777777" w:rsidR="005D4271" w:rsidRPr="005D4271" w:rsidRDefault="005D4271" w:rsidP="005D4271">
      <w:pPr>
        <w:pStyle w:val="Prrafodelista"/>
        <w:spacing w:after="160" w:line="259" w:lineRule="auto"/>
        <w:ind w:left="0"/>
        <w:jc w:val="both"/>
        <w:rPr>
          <w:rFonts w:ascii="Verdana" w:hAnsi="Verdana"/>
          <w:sz w:val="20"/>
          <w:szCs w:val="20"/>
          <w:lang w:val="es-ES"/>
        </w:rPr>
      </w:pPr>
    </w:p>
    <w:p w14:paraId="0B0F6548" w14:textId="77777777" w:rsidR="003C6845" w:rsidRPr="003C6845" w:rsidRDefault="003C6845" w:rsidP="005D4271">
      <w:pPr>
        <w:pStyle w:val="Prrafodelista"/>
        <w:numPr>
          <w:ilvl w:val="0"/>
          <w:numId w:val="2"/>
        </w:numPr>
        <w:spacing w:after="160" w:line="259" w:lineRule="auto"/>
        <w:ind w:left="0" w:firstLine="0"/>
        <w:jc w:val="both"/>
        <w:rPr>
          <w:rFonts w:ascii="Verdana" w:hAnsi="Verdana"/>
          <w:sz w:val="20"/>
          <w:szCs w:val="20"/>
          <w:lang w:val="es-ES"/>
        </w:rPr>
      </w:pPr>
      <w:r>
        <w:rPr>
          <w:rFonts w:ascii="Verdana" w:hAnsi="Verdana"/>
          <w:sz w:val="20"/>
          <w:szCs w:val="20"/>
        </w:rPr>
        <w:t>S</w:t>
      </w:r>
      <w:r w:rsidR="00634B61" w:rsidRPr="005D4271">
        <w:rPr>
          <w:rFonts w:ascii="Verdana" w:hAnsi="Verdana"/>
          <w:sz w:val="20"/>
          <w:szCs w:val="20"/>
        </w:rPr>
        <w:t xml:space="preserve">e abstendrá de realizar actos que pudieran dar lugar a que agentes del propio Estado o terceros, actuando con consentimiento o tolerancia del Estado, puedan afectar la existencia, valor, uso o goce del territorio de la Comunidad indígena Maya </w:t>
      </w:r>
      <w:proofErr w:type="spellStart"/>
      <w:r w:rsidR="00634B61" w:rsidRPr="005D4271">
        <w:rPr>
          <w:rFonts w:ascii="Verdana" w:hAnsi="Verdana"/>
          <w:sz w:val="20"/>
          <w:szCs w:val="20"/>
        </w:rPr>
        <w:t>Q’eqchi</w:t>
      </w:r>
      <w:proofErr w:type="spellEnd"/>
      <w:r w:rsidR="00634B61" w:rsidRPr="005D4271">
        <w:rPr>
          <w:rFonts w:ascii="Verdana" w:hAnsi="Verdana"/>
          <w:sz w:val="20"/>
          <w:szCs w:val="20"/>
        </w:rPr>
        <w:t xml:space="preserve">’ Agua Caliente Lote 9, en los términos del párrafo 347 de la Sentencia. </w:t>
      </w:r>
    </w:p>
    <w:p w14:paraId="68AD22B7" w14:textId="77777777" w:rsidR="003C6845" w:rsidRPr="003C6845" w:rsidRDefault="003C6845" w:rsidP="003C6845">
      <w:pPr>
        <w:pStyle w:val="Prrafodelista"/>
        <w:rPr>
          <w:rFonts w:ascii="Verdana" w:hAnsi="Verdana"/>
          <w:sz w:val="20"/>
          <w:szCs w:val="20"/>
        </w:rPr>
      </w:pPr>
    </w:p>
    <w:p w14:paraId="1D043D18" w14:textId="77777777" w:rsidR="003C6845" w:rsidRPr="003C6845" w:rsidRDefault="003C6845" w:rsidP="005D4271">
      <w:pPr>
        <w:pStyle w:val="Prrafodelista"/>
        <w:numPr>
          <w:ilvl w:val="0"/>
          <w:numId w:val="2"/>
        </w:numPr>
        <w:spacing w:after="160" w:line="259" w:lineRule="auto"/>
        <w:ind w:left="0" w:firstLine="0"/>
        <w:jc w:val="both"/>
        <w:rPr>
          <w:rFonts w:ascii="Verdana" w:hAnsi="Verdana"/>
          <w:sz w:val="20"/>
          <w:szCs w:val="20"/>
          <w:lang w:val="es-ES"/>
        </w:rPr>
      </w:pPr>
      <w:r>
        <w:rPr>
          <w:rFonts w:ascii="Verdana" w:hAnsi="Verdana"/>
          <w:sz w:val="20"/>
          <w:szCs w:val="20"/>
        </w:rPr>
        <w:t>R</w:t>
      </w:r>
      <w:r w:rsidR="00634B61" w:rsidRPr="005D4271">
        <w:rPr>
          <w:rFonts w:ascii="Verdana" w:hAnsi="Verdana"/>
          <w:sz w:val="20"/>
          <w:szCs w:val="20"/>
        </w:rPr>
        <w:t xml:space="preserve">ealizará un proceso de consulta adecuado con la Comunidad indígena Maya </w:t>
      </w:r>
      <w:proofErr w:type="spellStart"/>
      <w:r w:rsidR="00634B61" w:rsidRPr="005D4271">
        <w:rPr>
          <w:rFonts w:ascii="Verdana" w:hAnsi="Verdana"/>
          <w:sz w:val="20"/>
          <w:szCs w:val="20"/>
        </w:rPr>
        <w:t>Q’eqchi</w:t>
      </w:r>
      <w:proofErr w:type="spellEnd"/>
      <w:r w:rsidR="00634B61" w:rsidRPr="005D4271">
        <w:rPr>
          <w:rFonts w:ascii="Verdana" w:hAnsi="Verdana"/>
          <w:sz w:val="20"/>
          <w:szCs w:val="20"/>
        </w:rPr>
        <w:t xml:space="preserve">’ Agua Caliente Lote 9, en los términos del párrafo 350 de </w:t>
      </w:r>
      <w:r>
        <w:rPr>
          <w:rFonts w:ascii="Verdana" w:hAnsi="Verdana"/>
          <w:sz w:val="20"/>
          <w:szCs w:val="20"/>
        </w:rPr>
        <w:t xml:space="preserve">la </w:t>
      </w:r>
      <w:r w:rsidR="00634B61" w:rsidRPr="005D4271">
        <w:rPr>
          <w:rFonts w:ascii="Verdana" w:hAnsi="Verdana"/>
          <w:sz w:val="20"/>
          <w:szCs w:val="20"/>
        </w:rPr>
        <w:t xml:space="preserve">Sentencia. </w:t>
      </w:r>
    </w:p>
    <w:p w14:paraId="46A870B3" w14:textId="77777777" w:rsidR="003C6845" w:rsidRPr="003C6845" w:rsidRDefault="003C6845" w:rsidP="003C6845">
      <w:pPr>
        <w:pStyle w:val="Prrafodelista"/>
        <w:rPr>
          <w:rFonts w:ascii="Verdana" w:hAnsi="Verdana"/>
          <w:sz w:val="20"/>
          <w:szCs w:val="20"/>
        </w:rPr>
      </w:pPr>
    </w:p>
    <w:p w14:paraId="5C222D07" w14:textId="77777777" w:rsidR="00D07F58" w:rsidRPr="00D07F58" w:rsidRDefault="003C6845" w:rsidP="005D4271">
      <w:pPr>
        <w:pStyle w:val="Prrafodelista"/>
        <w:numPr>
          <w:ilvl w:val="0"/>
          <w:numId w:val="2"/>
        </w:numPr>
        <w:spacing w:after="160" w:line="259" w:lineRule="auto"/>
        <w:ind w:left="0" w:firstLine="0"/>
        <w:jc w:val="both"/>
        <w:rPr>
          <w:rFonts w:ascii="Verdana" w:hAnsi="Verdana"/>
          <w:sz w:val="20"/>
          <w:szCs w:val="20"/>
          <w:lang w:val="es-ES"/>
        </w:rPr>
      </w:pPr>
      <w:r>
        <w:rPr>
          <w:rFonts w:ascii="Verdana" w:hAnsi="Verdana"/>
          <w:sz w:val="20"/>
          <w:szCs w:val="20"/>
        </w:rPr>
        <w:t>R</w:t>
      </w:r>
      <w:r w:rsidR="00634B61" w:rsidRPr="005D4271">
        <w:rPr>
          <w:rFonts w:ascii="Verdana" w:hAnsi="Verdana"/>
          <w:sz w:val="20"/>
          <w:szCs w:val="20"/>
        </w:rPr>
        <w:t xml:space="preserve">ealizará las acciones de publicación, distribución y difusión de esta Sentencia, su resumen oficial y el comunicado de prensa oficial respectivo, indicadas en los párrafos 353 a 356 de la Sentencia. </w:t>
      </w:r>
    </w:p>
    <w:p w14:paraId="26263F3C" w14:textId="77777777" w:rsidR="00D07F58" w:rsidRPr="00D07F58" w:rsidRDefault="00D07F58" w:rsidP="00D07F58">
      <w:pPr>
        <w:pStyle w:val="Prrafodelista"/>
        <w:rPr>
          <w:rFonts w:ascii="Verdana" w:hAnsi="Verdana"/>
          <w:sz w:val="20"/>
          <w:szCs w:val="20"/>
        </w:rPr>
      </w:pPr>
    </w:p>
    <w:p w14:paraId="578C24F6" w14:textId="77777777" w:rsidR="00D07F58" w:rsidRPr="00D07F58" w:rsidRDefault="00D07F58" w:rsidP="005D4271">
      <w:pPr>
        <w:pStyle w:val="Prrafodelista"/>
        <w:numPr>
          <w:ilvl w:val="0"/>
          <w:numId w:val="2"/>
        </w:numPr>
        <w:spacing w:after="160" w:line="259" w:lineRule="auto"/>
        <w:ind w:left="0" w:firstLine="0"/>
        <w:jc w:val="both"/>
        <w:rPr>
          <w:rFonts w:ascii="Verdana" w:hAnsi="Verdana"/>
          <w:sz w:val="20"/>
          <w:szCs w:val="20"/>
          <w:lang w:val="es-ES"/>
        </w:rPr>
      </w:pPr>
      <w:r>
        <w:rPr>
          <w:rFonts w:ascii="Verdana" w:hAnsi="Verdana"/>
          <w:sz w:val="20"/>
          <w:szCs w:val="20"/>
        </w:rPr>
        <w:t>A</w:t>
      </w:r>
      <w:r w:rsidR="00634B61" w:rsidRPr="005D4271">
        <w:rPr>
          <w:rFonts w:ascii="Verdana" w:hAnsi="Verdana"/>
          <w:sz w:val="20"/>
          <w:szCs w:val="20"/>
        </w:rPr>
        <w:t xml:space="preserve">doptará las medidas legislativas y/o de otro carácter que fueren necesarias para dotar de seguridad jurídica al derecho de propiedad comunitaria indígena o tribal, en los términos señalados en los párrafos 362 y 366 de la Sentencia. </w:t>
      </w:r>
    </w:p>
    <w:p w14:paraId="3672CC42" w14:textId="77777777" w:rsidR="00D07F58" w:rsidRPr="00D07F58" w:rsidRDefault="00D07F58" w:rsidP="00D07F58">
      <w:pPr>
        <w:pStyle w:val="Prrafodelista"/>
        <w:rPr>
          <w:rFonts w:ascii="Verdana" w:hAnsi="Verdana"/>
          <w:sz w:val="20"/>
          <w:szCs w:val="20"/>
        </w:rPr>
      </w:pPr>
    </w:p>
    <w:p w14:paraId="2A22F1FC" w14:textId="77777777" w:rsidR="00D07F58" w:rsidRPr="00D07F58" w:rsidRDefault="00D07F58" w:rsidP="005D4271">
      <w:pPr>
        <w:pStyle w:val="Prrafodelista"/>
        <w:numPr>
          <w:ilvl w:val="0"/>
          <w:numId w:val="2"/>
        </w:numPr>
        <w:spacing w:after="160" w:line="259" w:lineRule="auto"/>
        <w:ind w:left="0" w:firstLine="0"/>
        <w:jc w:val="both"/>
        <w:rPr>
          <w:rFonts w:ascii="Verdana" w:hAnsi="Verdana"/>
          <w:sz w:val="20"/>
          <w:szCs w:val="20"/>
          <w:lang w:val="es-ES"/>
        </w:rPr>
      </w:pPr>
      <w:r>
        <w:rPr>
          <w:rFonts w:ascii="Verdana" w:hAnsi="Verdana"/>
          <w:sz w:val="20"/>
          <w:szCs w:val="20"/>
        </w:rPr>
        <w:t xml:space="preserve">Adoptará </w:t>
      </w:r>
      <w:r w:rsidR="00634B61" w:rsidRPr="005D4271">
        <w:rPr>
          <w:rFonts w:ascii="Verdana" w:hAnsi="Verdana"/>
          <w:sz w:val="20"/>
          <w:szCs w:val="20"/>
        </w:rPr>
        <w:t xml:space="preserve">las medidas legislativas y/o de otro carácter que fueren necesarias para hacer efectivo el derecho a la consulta previa de los pueblos y comunidades indígenas y tribales, en los términos señalados en los párrafos 363, 364 y 366 de la Sentencia. </w:t>
      </w:r>
    </w:p>
    <w:p w14:paraId="19AA1290" w14:textId="77777777" w:rsidR="00D07F58" w:rsidRPr="00D07F58" w:rsidRDefault="00D07F58" w:rsidP="00D07F58">
      <w:pPr>
        <w:pStyle w:val="Prrafodelista"/>
        <w:rPr>
          <w:rFonts w:ascii="Verdana" w:hAnsi="Verdana"/>
          <w:sz w:val="20"/>
          <w:szCs w:val="20"/>
        </w:rPr>
      </w:pPr>
    </w:p>
    <w:p w14:paraId="61CDEC6C" w14:textId="77777777" w:rsidR="00D07F58" w:rsidRPr="00D07F58" w:rsidRDefault="00D07F58" w:rsidP="005D4271">
      <w:pPr>
        <w:pStyle w:val="Prrafodelista"/>
        <w:numPr>
          <w:ilvl w:val="0"/>
          <w:numId w:val="2"/>
        </w:numPr>
        <w:spacing w:after="160" w:line="259" w:lineRule="auto"/>
        <w:ind w:left="0" w:firstLine="0"/>
        <w:jc w:val="both"/>
        <w:rPr>
          <w:rFonts w:ascii="Verdana" w:hAnsi="Verdana"/>
          <w:sz w:val="20"/>
          <w:szCs w:val="20"/>
          <w:lang w:val="es-ES"/>
        </w:rPr>
      </w:pPr>
      <w:r>
        <w:rPr>
          <w:rFonts w:ascii="Verdana" w:hAnsi="Verdana"/>
          <w:sz w:val="20"/>
          <w:szCs w:val="20"/>
        </w:rPr>
        <w:t>C</w:t>
      </w:r>
      <w:r w:rsidR="00634B61" w:rsidRPr="005D4271">
        <w:rPr>
          <w:rFonts w:ascii="Verdana" w:hAnsi="Verdana"/>
          <w:sz w:val="20"/>
          <w:szCs w:val="20"/>
        </w:rPr>
        <w:t xml:space="preserve">reará un fondo de desarrollo comunitario e implementará su ejecución, en los términos señalados en los párrafos 373 a 376 de la Sentencia. </w:t>
      </w:r>
    </w:p>
    <w:p w14:paraId="33F3DDCD" w14:textId="77777777" w:rsidR="00D07F58" w:rsidRPr="00D07F58" w:rsidRDefault="00D07F58" w:rsidP="00D07F58">
      <w:pPr>
        <w:pStyle w:val="Prrafodelista"/>
        <w:rPr>
          <w:rFonts w:ascii="Verdana" w:hAnsi="Verdana"/>
          <w:sz w:val="20"/>
          <w:szCs w:val="20"/>
        </w:rPr>
      </w:pPr>
    </w:p>
    <w:p w14:paraId="7C81BDC9" w14:textId="26C036A8" w:rsidR="00BD561F" w:rsidRPr="005D4271" w:rsidRDefault="00AB7D1B" w:rsidP="005D4271">
      <w:pPr>
        <w:pStyle w:val="Prrafodelista"/>
        <w:numPr>
          <w:ilvl w:val="0"/>
          <w:numId w:val="2"/>
        </w:numPr>
        <w:spacing w:after="160" w:line="259" w:lineRule="auto"/>
        <w:ind w:left="0" w:firstLine="0"/>
        <w:jc w:val="both"/>
        <w:rPr>
          <w:rFonts w:ascii="Verdana" w:hAnsi="Verdana"/>
          <w:sz w:val="20"/>
          <w:szCs w:val="20"/>
          <w:lang w:val="es-ES"/>
        </w:rPr>
      </w:pPr>
      <w:r>
        <w:rPr>
          <w:rFonts w:ascii="Verdana" w:hAnsi="Verdana"/>
          <w:sz w:val="20"/>
          <w:szCs w:val="20"/>
        </w:rPr>
        <w:t>P</w:t>
      </w:r>
      <w:r w:rsidR="00634B61" w:rsidRPr="005D4271">
        <w:rPr>
          <w:rFonts w:ascii="Verdana" w:hAnsi="Verdana"/>
          <w:sz w:val="20"/>
          <w:szCs w:val="20"/>
        </w:rPr>
        <w:t xml:space="preserve">agará las cantidades fijadas en los párrafos 378 y 390 de </w:t>
      </w:r>
      <w:r>
        <w:rPr>
          <w:rFonts w:ascii="Verdana" w:hAnsi="Verdana"/>
          <w:sz w:val="20"/>
          <w:szCs w:val="20"/>
        </w:rPr>
        <w:t xml:space="preserve">la </w:t>
      </w:r>
      <w:r w:rsidR="00634B61" w:rsidRPr="005D4271">
        <w:rPr>
          <w:rFonts w:ascii="Verdana" w:hAnsi="Verdana"/>
          <w:sz w:val="20"/>
          <w:szCs w:val="20"/>
        </w:rPr>
        <w:t xml:space="preserve">Sentencia, por concepto de indemnización de daño inmaterial y reintegro de costas y gastos, en los términos señalados en los párrafos 391 a 396 de </w:t>
      </w:r>
      <w:r>
        <w:rPr>
          <w:rFonts w:ascii="Verdana" w:hAnsi="Verdana"/>
          <w:sz w:val="20"/>
          <w:szCs w:val="20"/>
        </w:rPr>
        <w:t xml:space="preserve">la </w:t>
      </w:r>
      <w:r w:rsidR="00634B61" w:rsidRPr="005D4271">
        <w:rPr>
          <w:rFonts w:ascii="Verdana" w:hAnsi="Verdana"/>
          <w:sz w:val="20"/>
          <w:szCs w:val="20"/>
        </w:rPr>
        <w:t>Sentencia</w:t>
      </w:r>
    </w:p>
    <w:sectPr w:rsidR="00BD561F" w:rsidRPr="005D42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7FCC" w14:textId="77777777" w:rsidR="00BB7E55" w:rsidRDefault="00BB7E55" w:rsidP="00093A18">
      <w:pPr>
        <w:spacing w:after="0" w:line="240" w:lineRule="auto"/>
      </w:pPr>
      <w:r>
        <w:separator/>
      </w:r>
    </w:p>
  </w:endnote>
  <w:endnote w:type="continuationSeparator" w:id="0">
    <w:p w14:paraId="64DD94CB" w14:textId="77777777" w:rsidR="00BB7E55" w:rsidRDefault="00BB7E55" w:rsidP="0009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EA95" w14:textId="77777777" w:rsidR="00093A18" w:rsidRPr="005F4150" w:rsidRDefault="00093A18" w:rsidP="00093A18">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B440808" w14:textId="77777777" w:rsidR="00093A18" w:rsidRPr="00093A18" w:rsidRDefault="00093A18">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5B79" w14:textId="77777777" w:rsidR="00BB7E55" w:rsidRDefault="00BB7E55" w:rsidP="00093A18">
      <w:pPr>
        <w:spacing w:after="0" w:line="240" w:lineRule="auto"/>
      </w:pPr>
      <w:r>
        <w:separator/>
      </w:r>
    </w:p>
  </w:footnote>
  <w:footnote w:type="continuationSeparator" w:id="0">
    <w:p w14:paraId="12915284" w14:textId="77777777" w:rsidR="00BB7E55" w:rsidRDefault="00BB7E55" w:rsidP="0009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1175"/>
      <w:docPartObj>
        <w:docPartGallery w:val="Page Numbers (Top of Page)"/>
        <w:docPartUnique/>
      </w:docPartObj>
    </w:sdtPr>
    <w:sdtEndPr>
      <w:rPr>
        <w:noProof/>
      </w:rPr>
    </w:sdtEndPr>
    <w:sdtContent>
      <w:p w14:paraId="1C5BF9E3" w14:textId="77777777" w:rsidR="00093A18" w:rsidRDefault="00093A18">
        <w:pPr>
          <w:pStyle w:val="Encabezado"/>
          <w:jc w:val="right"/>
        </w:pPr>
        <w:r>
          <w:fldChar w:fldCharType="begin"/>
        </w:r>
        <w:r>
          <w:instrText xml:space="preserve"> PAGE   \* MERGEFORMAT </w:instrText>
        </w:r>
        <w:r>
          <w:fldChar w:fldCharType="separate"/>
        </w:r>
        <w:r w:rsidR="009B70A2">
          <w:rPr>
            <w:noProof/>
          </w:rPr>
          <w:t>1</w:t>
        </w:r>
        <w:r>
          <w:rPr>
            <w:noProof/>
          </w:rPr>
          <w:fldChar w:fldCharType="end"/>
        </w:r>
      </w:p>
    </w:sdtContent>
  </w:sdt>
  <w:p w14:paraId="0F8E45F8" w14:textId="77777777" w:rsidR="00093A18" w:rsidRDefault="00093A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466E"/>
    <w:multiLevelType w:val="hybridMultilevel"/>
    <w:tmpl w:val="00D6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D4D6E"/>
    <w:multiLevelType w:val="hybridMultilevel"/>
    <w:tmpl w:val="739246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847401794">
    <w:abstractNumId w:val="0"/>
  </w:num>
  <w:num w:numId="2" w16cid:durableId="779104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18"/>
    <w:rsid w:val="00014E17"/>
    <w:rsid w:val="00093A18"/>
    <w:rsid w:val="00144D59"/>
    <w:rsid w:val="0029263A"/>
    <w:rsid w:val="002B62DB"/>
    <w:rsid w:val="002E5868"/>
    <w:rsid w:val="00361C96"/>
    <w:rsid w:val="003C6845"/>
    <w:rsid w:val="005D4271"/>
    <w:rsid w:val="00634B61"/>
    <w:rsid w:val="008001D4"/>
    <w:rsid w:val="009B70A2"/>
    <w:rsid w:val="00A60BE3"/>
    <w:rsid w:val="00AB7D1B"/>
    <w:rsid w:val="00BB7E55"/>
    <w:rsid w:val="00BD561F"/>
    <w:rsid w:val="00CB763D"/>
    <w:rsid w:val="00CE2EA8"/>
    <w:rsid w:val="00D07F58"/>
    <w:rsid w:val="00D844C9"/>
    <w:rsid w:val="00E4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6BD87F"/>
  <w15:docId w15:val="{593B1B39-84FE-49E8-B07A-E23C69C4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A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3A18"/>
  </w:style>
  <w:style w:type="paragraph" w:styleId="Piedepgina">
    <w:name w:val="footer"/>
    <w:basedOn w:val="Normal"/>
    <w:link w:val="PiedepginaCar"/>
    <w:uiPriority w:val="99"/>
    <w:unhideWhenUsed/>
    <w:rsid w:val="00093A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3A18"/>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2E5868"/>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34"/>
    <w:rsid w:val="005D4271"/>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300</Words>
  <Characters>1656</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Shashira Douglas</cp:lastModifiedBy>
  <cp:revision>8</cp:revision>
  <dcterms:created xsi:type="dcterms:W3CDTF">2021-10-06T22:29:00Z</dcterms:created>
  <dcterms:modified xsi:type="dcterms:W3CDTF">2024-01-07T22:54:00Z</dcterms:modified>
</cp:coreProperties>
</file>